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65620" w14:textId="77777777" w:rsidR="001C7B7B" w:rsidRPr="00E74960" w:rsidRDefault="001C7B7B" w:rsidP="001C7B7B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7496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化学与生命科学</w:t>
      </w:r>
      <w:r w:rsidRPr="00E74960">
        <w:rPr>
          <w:rFonts w:ascii="Times New Roman" w:eastAsia="宋体" w:hAnsi="Times New Roman" w:cs="Times New Roman"/>
          <w:b/>
          <w:bCs/>
          <w:sz w:val="28"/>
          <w:szCs w:val="28"/>
        </w:rPr>
        <w:t>学院</w:t>
      </w:r>
      <w:r w:rsidRPr="00E74960">
        <w:rPr>
          <w:rFonts w:ascii="Times New Roman" w:eastAsia="宋体" w:hAnsi="Times New Roman" w:cs="Times New Roman"/>
          <w:b/>
          <w:bCs/>
          <w:sz w:val="28"/>
          <w:szCs w:val="28"/>
        </w:rPr>
        <w:t>20</w:t>
      </w:r>
      <w:r w:rsidRPr="00E7496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24</w:t>
      </w:r>
      <w:r w:rsidRPr="00E74960">
        <w:rPr>
          <w:rFonts w:ascii="Times New Roman" w:eastAsia="宋体" w:hAnsi="Times New Roman" w:cs="Times New Roman"/>
          <w:b/>
          <w:bCs/>
          <w:sz w:val="28"/>
          <w:szCs w:val="28"/>
        </w:rPr>
        <w:t>年教学质量检查评估工作安排</w:t>
      </w:r>
    </w:p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3"/>
        <w:gridCol w:w="851"/>
        <w:gridCol w:w="4394"/>
        <w:gridCol w:w="4252"/>
        <w:gridCol w:w="2836"/>
        <w:gridCol w:w="1240"/>
      </w:tblGrid>
      <w:tr w:rsidR="001C7B7B" w:rsidRPr="00604619" w14:paraId="74DACC1D" w14:textId="77777777" w:rsidTr="00185EFE">
        <w:trPr>
          <w:trHeight w:val="73"/>
          <w:jc w:val="center"/>
        </w:trPr>
        <w:tc>
          <w:tcPr>
            <w:tcW w:w="425" w:type="dxa"/>
            <w:vMerge w:val="restart"/>
            <w:vAlign w:val="center"/>
          </w:tcPr>
          <w:p w14:paraId="2502E437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413" w:type="dxa"/>
            <w:vMerge w:val="restart"/>
            <w:vAlign w:val="center"/>
          </w:tcPr>
          <w:p w14:paraId="7AF9DC9B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观测点</w:t>
            </w:r>
          </w:p>
        </w:tc>
        <w:tc>
          <w:tcPr>
            <w:tcW w:w="851" w:type="dxa"/>
            <w:vMerge w:val="restart"/>
            <w:vAlign w:val="center"/>
          </w:tcPr>
          <w:p w14:paraId="5E912336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观测点权重</w:t>
            </w:r>
          </w:p>
        </w:tc>
        <w:tc>
          <w:tcPr>
            <w:tcW w:w="8646" w:type="dxa"/>
            <w:gridSpan w:val="2"/>
            <w:vAlign w:val="center"/>
          </w:tcPr>
          <w:p w14:paraId="0100C708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等级标准</w:t>
            </w:r>
          </w:p>
        </w:tc>
        <w:tc>
          <w:tcPr>
            <w:tcW w:w="2836" w:type="dxa"/>
            <w:vMerge w:val="restart"/>
            <w:vAlign w:val="center"/>
          </w:tcPr>
          <w:p w14:paraId="15E02D6A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评估材料依据</w:t>
            </w:r>
          </w:p>
        </w:tc>
        <w:tc>
          <w:tcPr>
            <w:tcW w:w="1240" w:type="dxa"/>
            <w:vMerge w:val="restart"/>
            <w:vAlign w:val="center"/>
          </w:tcPr>
          <w:p w14:paraId="543AF521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责任人</w:t>
            </w:r>
          </w:p>
        </w:tc>
      </w:tr>
      <w:tr w:rsidR="001C7B7B" w:rsidRPr="005B5BD9" w14:paraId="209D4743" w14:textId="77777777" w:rsidTr="00185EFE">
        <w:trPr>
          <w:trHeight w:val="132"/>
          <w:jc w:val="center"/>
        </w:trPr>
        <w:tc>
          <w:tcPr>
            <w:tcW w:w="425" w:type="dxa"/>
            <w:vMerge/>
            <w:vAlign w:val="center"/>
          </w:tcPr>
          <w:p w14:paraId="08D563E2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14:paraId="7D658594" w14:textId="77777777" w:rsidR="001C7B7B" w:rsidRPr="00604619" w:rsidRDefault="001C7B7B" w:rsidP="00185EFE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AC26C9C" w14:textId="77777777" w:rsidR="001C7B7B" w:rsidRPr="00604619" w:rsidRDefault="001C7B7B" w:rsidP="00185EFE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FCD819A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A</w:t>
            </w:r>
            <w:r w:rsidRPr="005B5BD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4252" w:type="dxa"/>
            <w:vAlign w:val="center"/>
          </w:tcPr>
          <w:p w14:paraId="19F1BE20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B</w:t>
            </w:r>
            <w:r w:rsidRPr="005B5BD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2836" w:type="dxa"/>
            <w:vMerge/>
            <w:vAlign w:val="center"/>
          </w:tcPr>
          <w:p w14:paraId="6A17888C" w14:textId="77777777" w:rsidR="001C7B7B" w:rsidRPr="00604619" w:rsidRDefault="001C7B7B" w:rsidP="00185EFE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14:paraId="23DE422C" w14:textId="77777777" w:rsidR="001C7B7B" w:rsidRPr="00604619" w:rsidRDefault="001C7B7B" w:rsidP="00185EFE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7B7B" w:rsidRPr="005B5BD9" w14:paraId="49A34C47" w14:textId="77777777" w:rsidTr="00185EFE">
        <w:trPr>
          <w:trHeight w:val="1272"/>
          <w:jc w:val="center"/>
        </w:trPr>
        <w:tc>
          <w:tcPr>
            <w:tcW w:w="425" w:type="dxa"/>
            <w:vMerge w:val="restart"/>
            <w:vAlign w:val="center"/>
          </w:tcPr>
          <w:p w14:paraId="4CC38E6F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常规教学</w:t>
            </w:r>
          </w:p>
        </w:tc>
        <w:tc>
          <w:tcPr>
            <w:tcW w:w="1413" w:type="dxa"/>
            <w:vAlign w:val="center"/>
          </w:tcPr>
          <w:p w14:paraId="053C21E7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教学材料整理</w:t>
            </w:r>
          </w:p>
        </w:tc>
        <w:tc>
          <w:tcPr>
            <w:tcW w:w="851" w:type="dxa"/>
            <w:vAlign w:val="center"/>
          </w:tcPr>
          <w:p w14:paraId="6EED4BC5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4394" w:type="dxa"/>
            <w:vAlign w:val="center"/>
          </w:tcPr>
          <w:p w14:paraId="2080AEE4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教学质量检查自查工作计划完整详实，重点工作突出，落实到人；自查总结数据齐备，与工作计划相呼应，有针对性的改进措施且按时上交。完成基本数据的采集，统计准确、填写详实。</w:t>
            </w:r>
          </w:p>
        </w:tc>
        <w:tc>
          <w:tcPr>
            <w:tcW w:w="4252" w:type="dxa"/>
            <w:vAlign w:val="center"/>
          </w:tcPr>
          <w:p w14:paraId="03C23115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教学质量检查自查工作计划比较完整；自查总结数</w:t>
            </w:r>
          </w:p>
          <w:p w14:paraId="4BE19459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据较齐备且按时上交。能基本完成数据的采集。</w:t>
            </w:r>
          </w:p>
        </w:tc>
        <w:tc>
          <w:tcPr>
            <w:tcW w:w="2836" w:type="dxa"/>
            <w:vAlign w:val="center"/>
          </w:tcPr>
          <w:p w14:paraId="2804EA22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教学质量检查自查工作计划与总</w:t>
            </w:r>
          </w:p>
          <w:p w14:paraId="5F96DEFC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结</w:t>
            </w:r>
          </w:p>
        </w:tc>
        <w:tc>
          <w:tcPr>
            <w:tcW w:w="1240" w:type="dxa"/>
            <w:vAlign w:val="center"/>
          </w:tcPr>
          <w:p w14:paraId="39F55213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陈功轩</w:t>
            </w:r>
            <w:proofErr w:type="gramEnd"/>
          </w:p>
          <w:p w14:paraId="135A654B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张明星</w:t>
            </w:r>
          </w:p>
          <w:p w14:paraId="0DEC9F2D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王亮节</w:t>
            </w:r>
          </w:p>
        </w:tc>
      </w:tr>
      <w:tr w:rsidR="001C7B7B" w:rsidRPr="005B5BD9" w14:paraId="12C4ED44" w14:textId="77777777" w:rsidTr="00185EFE">
        <w:trPr>
          <w:trHeight w:val="1194"/>
          <w:jc w:val="center"/>
        </w:trPr>
        <w:tc>
          <w:tcPr>
            <w:tcW w:w="425" w:type="dxa"/>
            <w:vMerge/>
            <w:vAlign w:val="center"/>
          </w:tcPr>
          <w:p w14:paraId="18B20BD9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17D4553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质量监控</w:t>
            </w:r>
          </w:p>
        </w:tc>
        <w:tc>
          <w:tcPr>
            <w:tcW w:w="851" w:type="dxa"/>
            <w:vAlign w:val="center"/>
          </w:tcPr>
          <w:p w14:paraId="3DD92B30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4394" w:type="dxa"/>
            <w:vAlign w:val="center"/>
          </w:tcPr>
          <w:p w14:paraId="4F5AA675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质量监控制度完备、手段多样、落实较好，能促进问题的解决。学生座谈会、教师座谈会记录及纪要完整规范，意见及建议的反馈情况良好。学生信息员能按</w:t>
            </w:r>
          </w:p>
          <w:p w14:paraId="63B0A986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要求开展工作，成效良好。</w:t>
            </w:r>
          </w:p>
        </w:tc>
        <w:tc>
          <w:tcPr>
            <w:tcW w:w="4252" w:type="dxa"/>
            <w:vAlign w:val="center"/>
          </w:tcPr>
          <w:p w14:paraId="0B645D6A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有一定的教学质量监控手段，质量监控制度基本能得到落实。学生座谈会记录及纪要较完整，意见及建议的收集、处理、反馈情况一般。学生信息员能</w:t>
            </w:r>
          </w:p>
          <w:p w14:paraId="246055EB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按要求开展工作，成效一般。</w:t>
            </w:r>
          </w:p>
        </w:tc>
        <w:tc>
          <w:tcPr>
            <w:tcW w:w="2836" w:type="dxa"/>
            <w:vAlign w:val="center"/>
          </w:tcPr>
          <w:p w14:paraId="1ECCEADF" w14:textId="77777777" w:rsidR="001C7B7B" w:rsidRPr="00112BDE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1. </w:t>
            </w:r>
            <w:r w:rsidRPr="00112BD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学生座谈会、教师座谈会记录及纪要</w:t>
            </w:r>
          </w:p>
          <w:p w14:paraId="365B1FF7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对教务处反馈的教学信息的处理情况及其它信息员工作材料</w:t>
            </w:r>
          </w:p>
        </w:tc>
        <w:tc>
          <w:tcPr>
            <w:tcW w:w="1240" w:type="dxa"/>
            <w:vAlign w:val="center"/>
          </w:tcPr>
          <w:p w14:paraId="60E60DFC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孙建明</w:t>
            </w:r>
          </w:p>
          <w:p w14:paraId="74B372C8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翁方青</w:t>
            </w:r>
          </w:p>
          <w:p w14:paraId="234754A0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静</w:t>
            </w:r>
          </w:p>
          <w:p w14:paraId="02863C3F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熊校勤</w:t>
            </w:r>
          </w:p>
          <w:p w14:paraId="72C1E040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艳</w:t>
            </w:r>
          </w:p>
        </w:tc>
      </w:tr>
      <w:tr w:rsidR="001C7B7B" w:rsidRPr="005B5BD9" w14:paraId="08AD7FBB" w14:textId="77777777" w:rsidTr="00185EFE">
        <w:trPr>
          <w:trHeight w:val="553"/>
          <w:jc w:val="center"/>
        </w:trPr>
        <w:tc>
          <w:tcPr>
            <w:tcW w:w="425" w:type="dxa"/>
            <w:vMerge/>
            <w:vAlign w:val="center"/>
          </w:tcPr>
          <w:p w14:paraId="27CF1768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4EC1B21E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听课评课</w:t>
            </w:r>
          </w:p>
        </w:tc>
        <w:tc>
          <w:tcPr>
            <w:tcW w:w="851" w:type="dxa"/>
            <w:vAlign w:val="center"/>
          </w:tcPr>
          <w:p w14:paraId="77DB11B8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4394" w:type="dxa"/>
            <w:vAlign w:val="center"/>
          </w:tcPr>
          <w:p w14:paraId="2A43C478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每学期至少组织一次或分系（教研室）各组织一次教师公开课活动，教师听课覆盖率为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100%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。鼓励同行间相互听课评课。《听课记录表》填写认真、详实，有针对性。通过听课、评课，问题有反馈、有改善，</w:t>
            </w:r>
          </w:p>
          <w:p w14:paraId="04D4F68E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成效显著。</w:t>
            </w:r>
          </w:p>
        </w:tc>
        <w:tc>
          <w:tcPr>
            <w:tcW w:w="4252" w:type="dxa"/>
            <w:vAlign w:val="center"/>
          </w:tcPr>
          <w:p w14:paraId="79035995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每学期至少组织一次或分系（教研室）各组织一次教师公开课活动，教师听课覆盖率＞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90%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，鼓励同行间相互听课评课，《听课记录表》填写较详实且</w:t>
            </w:r>
            <w:r w:rsidRPr="00AC6335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无抄袭现象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。通过听课、评课，问题有反馈、有改</w:t>
            </w:r>
          </w:p>
          <w:p w14:paraId="1090AB95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善，有一定成效。</w:t>
            </w:r>
          </w:p>
        </w:tc>
        <w:tc>
          <w:tcPr>
            <w:tcW w:w="2836" w:type="dxa"/>
            <w:vAlign w:val="center"/>
          </w:tcPr>
          <w:p w14:paraId="19132FC0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《湖北第二师范学院听课表》</w:t>
            </w:r>
          </w:p>
          <w:p w14:paraId="101B8A35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授课情况分析和总结</w:t>
            </w:r>
          </w:p>
        </w:tc>
        <w:tc>
          <w:tcPr>
            <w:tcW w:w="1240" w:type="dxa"/>
            <w:vAlign w:val="center"/>
          </w:tcPr>
          <w:p w14:paraId="0B91C23D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50938243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张明星</w:t>
            </w:r>
          </w:p>
          <w:p w14:paraId="71D54D5D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王亮节</w:t>
            </w:r>
          </w:p>
          <w:p w14:paraId="1F05D343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孙建明</w:t>
            </w:r>
          </w:p>
          <w:p w14:paraId="3D866929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翁方青</w:t>
            </w:r>
          </w:p>
          <w:p w14:paraId="687D3018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静</w:t>
            </w:r>
          </w:p>
          <w:p w14:paraId="25AAFFA2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熊校勤</w:t>
            </w:r>
          </w:p>
          <w:bookmarkEnd w:id="0"/>
          <w:p w14:paraId="2C1DA772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任课</w:t>
            </w: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教师</w:t>
            </w:r>
          </w:p>
        </w:tc>
      </w:tr>
      <w:tr w:rsidR="001C7B7B" w:rsidRPr="005B5BD9" w14:paraId="09FC4ED4" w14:textId="77777777" w:rsidTr="00185EFE">
        <w:trPr>
          <w:trHeight w:val="1844"/>
          <w:jc w:val="center"/>
        </w:trPr>
        <w:tc>
          <w:tcPr>
            <w:tcW w:w="425" w:type="dxa"/>
            <w:vMerge/>
            <w:vAlign w:val="center"/>
          </w:tcPr>
          <w:p w14:paraId="0309EF12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F25399E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教研活动</w:t>
            </w:r>
          </w:p>
        </w:tc>
        <w:tc>
          <w:tcPr>
            <w:tcW w:w="851" w:type="dxa"/>
            <w:vAlign w:val="center"/>
          </w:tcPr>
          <w:p w14:paraId="42201F18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4394" w:type="dxa"/>
            <w:vAlign w:val="center"/>
          </w:tcPr>
          <w:p w14:paraId="6555AB24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以系（教研室）为单位开展活动，每个系（教研室）开展活动＞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次。教研活动内容记录详实，通过研讨、案例分析、教法讨论、教改交流等活动，解决教学中出现的实际问题，达到教学研讨、促进教师专业成长的目的。成效明显，对教学指导作用大，教研室</w:t>
            </w:r>
          </w:p>
          <w:p w14:paraId="22937299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主任作用发挥明显。</w:t>
            </w:r>
          </w:p>
        </w:tc>
        <w:tc>
          <w:tcPr>
            <w:tcW w:w="4252" w:type="dxa"/>
            <w:vAlign w:val="center"/>
          </w:tcPr>
          <w:p w14:paraId="0DA02E5A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以系（教研室）为单位开展活动，每个系（教研室）开展活动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次。教研活动内容记录不完整，真正意义上的教研活动开展不多。成效一般，教研室主任作用发挥不够明显，但尚能看出教研室主任工作的痕迹。</w:t>
            </w:r>
          </w:p>
        </w:tc>
        <w:tc>
          <w:tcPr>
            <w:tcW w:w="2836" w:type="dxa"/>
            <w:vAlign w:val="center"/>
          </w:tcPr>
          <w:p w14:paraId="551EF335" w14:textId="77777777" w:rsidR="001C7B7B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教研活动计划、教研活动记录等</w:t>
            </w:r>
          </w:p>
          <w:p w14:paraId="1F652128" w14:textId="77777777" w:rsidR="001C7B7B" w:rsidRPr="0060461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C633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相关材料</w:t>
            </w:r>
          </w:p>
        </w:tc>
        <w:tc>
          <w:tcPr>
            <w:tcW w:w="1240" w:type="dxa"/>
            <w:vAlign w:val="center"/>
          </w:tcPr>
          <w:p w14:paraId="05B5BA66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张明星</w:t>
            </w:r>
          </w:p>
          <w:p w14:paraId="27BC9DBE" w14:textId="77777777" w:rsidR="001C7B7B" w:rsidRPr="0060461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王亮节</w:t>
            </w:r>
          </w:p>
        </w:tc>
      </w:tr>
      <w:tr w:rsidR="001C7B7B" w:rsidRPr="005B5BD9" w14:paraId="1825F012" w14:textId="77777777" w:rsidTr="00185EFE">
        <w:trPr>
          <w:trHeight w:val="1695"/>
          <w:jc w:val="center"/>
        </w:trPr>
        <w:tc>
          <w:tcPr>
            <w:tcW w:w="425" w:type="dxa"/>
            <w:vAlign w:val="center"/>
          </w:tcPr>
          <w:p w14:paraId="2F68D576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2.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质量工程</w:t>
            </w:r>
          </w:p>
        </w:tc>
        <w:tc>
          <w:tcPr>
            <w:tcW w:w="1413" w:type="dxa"/>
            <w:vAlign w:val="center"/>
          </w:tcPr>
          <w:p w14:paraId="63D1DD6B" w14:textId="77777777" w:rsidR="001C7B7B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E60B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专业、课程、</w:t>
            </w:r>
          </w:p>
          <w:p w14:paraId="05282BA4" w14:textId="77777777" w:rsidR="001C7B7B" w:rsidRPr="005B5BD9" w:rsidRDefault="001C7B7B" w:rsidP="00185EF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E60B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基层教学组织、教学改革研究、教师竞赛</w:t>
            </w:r>
          </w:p>
        </w:tc>
        <w:tc>
          <w:tcPr>
            <w:tcW w:w="851" w:type="dxa"/>
            <w:vAlign w:val="center"/>
          </w:tcPr>
          <w:p w14:paraId="711ED6EA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646" w:type="dxa"/>
            <w:gridSpan w:val="2"/>
            <w:vAlign w:val="center"/>
          </w:tcPr>
          <w:p w14:paraId="4727D2E2" w14:textId="77777777" w:rsidR="001C7B7B" w:rsidRPr="005B5BD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83B2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根据《教育部关于深化本科教育教学改革全面提高人才培养质量意见》完成“一流本科专业建设点阶段性检查”、获批“省、校及一流课程”、建设“基层教学组织”、获批“省、校级教学改革研究项目”、组织各类“教师竞赛”</w:t>
            </w:r>
          </w:p>
        </w:tc>
        <w:tc>
          <w:tcPr>
            <w:tcW w:w="2836" w:type="dxa"/>
            <w:vAlign w:val="center"/>
          </w:tcPr>
          <w:p w14:paraId="5DD1F5F3" w14:textId="77777777" w:rsidR="001C7B7B" w:rsidRPr="005B5BD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建设、获</w:t>
            </w: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批相关</w:t>
            </w:r>
            <w:proofErr w:type="gramEnd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支撑材料</w:t>
            </w:r>
          </w:p>
        </w:tc>
        <w:tc>
          <w:tcPr>
            <w:tcW w:w="1240" w:type="dxa"/>
            <w:vAlign w:val="center"/>
          </w:tcPr>
          <w:p w14:paraId="5AD560EA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陈功轩</w:t>
            </w:r>
            <w:proofErr w:type="gramEnd"/>
          </w:p>
          <w:p w14:paraId="46F3D197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张明星</w:t>
            </w:r>
          </w:p>
          <w:p w14:paraId="12BC6CDE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王亮节</w:t>
            </w:r>
          </w:p>
          <w:p w14:paraId="61A94069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孙建明</w:t>
            </w:r>
          </w:p>
          <w:p w14:paraId="3518EC17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静</w:t>
            </w:r>
          </w:p>
        </w:tc>
      </w:tr>
      <w:tr w:rsidR="001C7B7B" w:rsidRPr="005B5BD9" w14:paraId="3D506D37" w14:textId="77777777" w:rsidTr="00185EFE">
        <w:trPr>
          <w:trHeight w:val="1844"/>
          <w:jc w:val="center"/>
        </w:trPr>
        <w:tc>
          <w:tcPr>
            <w:tcW w:w="425" w:type="dxa"/>
            <w:vAlign w:val="center"/>
          </w:tcPr>
          <w:p w14:paraId="0277A17C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3. </w:t>
            </w:r>
            <w:r w:rsidRPr="00604619">
              <w:rPr>
                <w:rFonts w:ascii="Times New Roman" w:eastAsia="宋体" w:hAnsi="Times New Roman" w:cs="Times New Roman"/>
                <w:sz w:val="18"/>
                <w:szCs w:val="18"/>
              </w:rPr>
              <w:t>特色及创新</w:t>
            </w:r>
          </w:p>
        </w:tc>
        <w:tc>
          <w:tcPr>
            <w:tcW w:w="1413" w:type="dxa"/>
            <w:vAlign w:val="center"/>
          </w:tcPr>
          <w:p w14:paraId="427AB557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E60B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教学管理、教学改革方面的特色及创新</w:t>
            </w:r>
          </w:p>
        </w:tc>
        <w:tc>
          <w:tcPr>
            <w:tcW w:w="851" w:type="dxa"/>
            <w:vAlign w:val="center"/>
          </w:tcPr>
          <w:p w14:paraId="788B9349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646" w:type="dxa"/>
            <w:gridSpan w:val="2"/>
            <w:vAlign w:val="center"/>
          </w:tcPr>
          <w:p w14:paraId="1D9E4FB5" w14:textId="77777777" w:rsidR="001C7B7B" w:rsidRPr="005B5BD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4323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积极响应国家、省市、学校方针政策，结合本学院自身特点，组织开展了在教学管理、教学改革等方面特色活动。教师投入教学、教授全员为本科生授课情况；优秀教师教学创新案例、优秀毕业生案例建设情况；学科资源、科研成果转化为教学资源情况。</w:t>
            </w:r>
          </w:p>
        </w:tc>
        <w:tc>
          <w:tcPr>
            <w:tcW w:w="2836" w:type="dxa"/>
            <w:vAlign w:val="center"/>
          </w:tcPr>
          <w:p w14:paraId="5D6493B7" w14:textId="77777777" w:rsidR="001C7B7B" w:rsidRPr="0014323D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4323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活动相关材料，成果展示</w:t>
            </w:r>
          </w:p>
        </w:tc>
        <w:tc>
          <w:tcPr>
            <w:tcW w:w="1240" w:type="dxa"/>
            <w:vAlign w:val="center"/>
          </w:tcPr>
          <w:p w14:paraId="7683BFD3" w14:textId="77777777" w:rsidR="001C7B7B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陈功轩</w:t>
            </w:r>
            <w:proofErr w:type="gramEnd"/>
          </w:p>
          <w:p w14:paraId="3762F485" w14:textId="77777777" w:rsidR="001C7B7B" w:rsidRPr="00F95994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张明星</w:t>
            </w:r>
          </w:p>
          <w:p w14:paraId="6A4B5753" w14:textId="77777777" w:rsidR="001C7B7B" w:rsidRPr="00F95994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王亮节</w:t>
            </w:r>
          </w:p>
          <w:p w14:paraId="6761F027" w14:textId="77777777" w:rsidR="001C7B7B" w:rsidRPr="00F95994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孙建明</w:t>
            </w:r>
          </w:p>
          <w:p w14:paraId="334702AD" w14:textId="77777777" w:rsidR="001C7B7B" w:rsidRPr="00F95994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翁方青</w:t>
            </w:r>
          </w:p>
          <w:p w14:paraId="463E8003" w14:textId="77777777" w:rsidR="001C7B7B" w:rsidRPr="00F95994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静</w:t>
            </w:r>
          </w:p>
          <w:p w14:paraId="66C1D2C5" w14:textId="77777777" w:rsidR="001C7B7B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599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熊校勤</w:t>
            </w:r>
          </w:p>
          <w:p w14:paraId="34BFCE0C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谭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雪青</w:t>
            </w:r>
          </w:p>
        </w:tc>
      </w:tr>
      <w:tr w:rsidR="001C7B7B" w:rsidRPr="005B5BD9" w14:paraId="3BE2827F" w14:textId="77777777" w:rsidTr="00185EFE">
        <w:trPr>
          <w:trHeight w:val="1363"/>
          <w:jc w:val="center"/>
        </w:trPr>
        <w:tc>
          <w:tcPr>
            <w:tcW w:w="425" w:type="dxa"/>
            <w:vAlign w:val="center"/>
          </w:tcPr>
          <w:p w14:paraId="517A9C10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4.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扣分项</w:t>
            </w:r>
          </w:p>
        </w:tc>
        <w:tc>
          <w:tcPr>
            <w:tcW w:w="1413" w:type="dxa"/>
            <w:vAlign w:val="center"/>
          </w:tcPr>
          <w:p w14:paraId="67C1FDC8" w14:textId="77777777" w:rsidR="001C7B7B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E60B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教学事故与考试舞弊及持续</w:t>
            </w:r>
          </w:p>
          <w:p w14:paraId="1831D80C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E60B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改进</w:t>
            </w:r>
          </w:p>
        </w:tc>
        <w:tc>
          <w:tcPr>
            <w:tcW w:w="851" w:type="dxa"/>
            <w:vAlign w:val="center"/>
          </w:tcPr>
          <w:p w14:paraId="4B39F789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-0.3</w:t>
            </w:r>
          </w:p>
        </w:tc>
        <w:tc>
          <w:tcPr>
            <w:tcW w:w="8646" w:type="dxa"/>
            <w:gridSpan w:val="2"/>
            <w:vAlign w:val="center"/>
          </w:tcPr>
          <w:p w14:paraId="09DA1EEF" w14:textId="77777777" w:rsidR="001C7B7B" w:rsidRPr="005B5BD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4323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根据教学事故、考试舞弊、教学质量检查持续改进不力情况综合扣分。</w:t>
            </w:r>
          </w:p>
        </w:tc>
        <w:tc>
          <w:tcPr>
            <w:tcW w:w="2836" w:type="dxa"/>
            <w:vAlign w:val="center"/>
          </w:tcPr>
          <w:p w14:paraId="0FE17A56" w14:textId="77777777" w:rsidR="001C7B7B" w:rsidRPr="005B5BD9" w:rsidRDefault="001C7B7B" w:rsidP="00185EF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14:paraId="581F01F8" w14:textId="77777777" w:rsidR="001C7B7B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谭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雪青</w:t>
            </w:r>
          </w:p>
          <w:p w14:paraId="389B60EF" w14:textId="77777777" w:rsidR="001C7B7B" w:rsidRPr="005B5BD9" w:rsidRDefault="001C7B7B" w:rsidP="00185EF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5B5BD9">
              <w:rPr>
                <w:rFonts w:ascii="Times New Roman" w:eastAsia="宋体" w:hAnsi="Times New Roman" w:cs="Times New Roman"/>
                <w:sz w:val="18"/>
                <w:szCs w:val="18"/>
              </w:rPr>
              <w:t>艳</w:t>
            </w:r>
          </w:p>
        </w:tc>
      </w:tr>
    </w:tbl>
    <w:p w14:paraId="7BB51B86" w14:textId="77777777" w:rsidR="001C7B7B" w:rsidRPr="00604619" w:rsidRDefault="001C7B7B" w:rsidP="001C7B7B">
      <w:pPr>
        <w:rPr>
          <w:rFonts w:ascii="Times New Roman" w:eastAsia="宋体" w:hAnsi="Times New Roman" w:cs="Times New Roman"/>
          <w:szCs w:val="24"/>
        </w:rPr>
      </w:pPr>
    </w:p>
    <w:p w14:paraId="6DEDD844" w14:textId="77777777" w:rsidR="001C7B7B" w:rsidRPr="005B5BD9" w:rsidRDefault="001C7B7B" w:rsidP="001C7B7B">
      <w:pPr>
        <w:spacing w:line="312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88E9AD1" w14:textId="77777777" w:rsidR="001C7B7B" w:rsidRPr="005B5BD9" w:rsidRDefault="001C7B7B" w:rsidP="001C7B7B">
      <w:pPr>
        <w:spacing w:line="312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1D63657" w14:textId="77777777" w:rsidR="001C7B7B" w:rsidRPr="005B5BD9" w:rsidRDefault="001C7B7B" w:rsidP="001C7B7B">
      <w:pPr>
        <w:spacing w:line="312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1EF8F75" w14:textId="77777777" w:rsidR="001C7B7B" w:rsidRPr="005B5BD9" w:rsidRDefault="001C7B7B" w:rsidP="001C7B7B">
      <w:pPr>
        <w:spacing w:line="312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1118167" w14:textId="77777777" w:rsidR="00BA0CCC" w:rsidRDefault="00BA0CCC">
      <w:pPr>
        <w:rPr>
          <w:rFonts w:hint="eastAsia"/>
        </w:rPr>
      </w:pPr>
    </w:p>
    <w:sectPr w:rsidR="00BA0CCC" w:rsidSect="001C7B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115C6" w14:textId="77777777" w:rsidR="00232B80" w:rsidRDefault="00232B80" w:rsidP="001C7B7B">
      <w:pPr>
        <w:rPr>
          <w:rFonts w:hint="eastAsia"/>
        </w:rPr>
      </w:pPr>
      <w:r>
        <w:separator/>
      </w:r>
    </w:p>
  </w:endnote>
  <w:endnote w:type="continuationSeparator" w:id="0">
    <w:p w14:paraId="33493E2F" w14:textId="77777777" w:rsidR="00232B80" w:rsidRDefault="00232B80" w:rsidP="001C7B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61D5" w14:textId="77777777" w:rsidR="00232B80" w:rsidRDefault="00232B80" w:rsidP="001C7B7B">
      <w:pPr>
        <w:rPr>
          <w:rFonts w:hint="eastAsia"/>
        </w:rPr>
      </w:pPr>
      <w:r>
        <w:separator/>
      </w:r>
    </w:p>
  </w:footnote>
  <w:footnote w:type="continuationSeparator" w:id="0">
    <w:p w14:paraId="6720B751" w14:textId="77777777" w:rsidR="00232B80" w:rsidRDefault="00232B80" w:rsidP="001C7B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DB"/>
    <w:rsid w:val="001C7B7B"/>
    <w:rsid w:val="00232B80"/>
    <w:rsid w:val="00342FFF"/>
    <w:rsid w:val="008A604E"/>
    <w:rsid w:val="009D35DB"/>
    <w:rsid w:val="00A81D6B"/>
    <w:rsid w:val="00B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FB4CDB-F552-457C-880F-C430CEF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B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B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2024-10-31T06:37:00Z</dcterms:created>
  <dcterms:modified xsi:type="dcterms:W3CDTF">2024-10-31T06:37:00Z</dcterms:modified>
</cp:coreProperties>
</file>